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AEC07" w14:textId="1B9A1C8D" w:rsidR="00D628C8" w:rsidRDefault="002C3972" w:rsidP="7330BD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7330BDA6">
        <w:rPr>
          <w:rFonts w:ascii="Arial" w:hAnsi="Arial" w:cs="Arial"/>
          <w:b/>
          <w:bCs/>
          <w:sz w:val="32"/>
          <w:szCs w:val="32"/>
        </w:rPr>
        <w:t>Inclusion/Exclusion Criteria</w:t>
      </w:r>
    </w:p>
    <w:p w14:paraId="5A83BA58" w14:textId="2A240C26" w:rsidR="77A6EC86" w:rsidRDefault="77A6EC86" w:rsidP="7330BD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6BD77E" wp14:editId="44E1F0F6">
            <wp:extent cx="1264285" cy="1305560"/>
            <wp:effectExtent l="0" t="0" r="0" b="0"/>
            <wp:docPr id="1426215295" name="Picture 2" descr="ADRC_FL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D9E43" w14:textId="77777777" w:rsidR="00D628C8" w:rsidRPr="00E25748" w:rsidRDefault="00066CF1" w:rsidP="006B6999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25748">
        <w:rPr>
          <w:rFonts w:ascii="Arial" w:hAnsi="Arial" w:cs="Arial"/>
          <w:sz w:val="28"/>
          <w:szCs w:val="24"/>
        </w:rPr>
        <w:t>State of Florida</w:t>
      </w:r>
    </w:p>
    <w:p w14:paraId="191D4264" w14:textId="77777777" w:rsidR="00D628C8" w:rsidRDefault="002C3972" w:rsidP="006B699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E78E4">
        <w:rPr>
          <w:rFonts w:ascii="Arial" w:hAnsi="Arial" w:cs="Arial"/>
          <w:b/>
          <w:sz w:val="28"/>
          <w:szCs w:val="24"/>
        </w:rPr>
        <w:t>Aging and Disability Resource Center</w:t>
      </w:r>
      <w:r w:rsidR="0078678F" w:rsidRPr="009E78E4">
        <w:rPr>
          <w:rFonts w:ascii="Arial" w:hAnsi="Arial" w:cs="Arial"/>
          <w:b/>
          <w:color w:val="000000"/>
          <w:sz w:val="28"/>
          <w:szCs w:val="24"/>
        </w:rPr>
        <w:t>s</w:t>
      </w:r>
    </w:p>
    <w:p w14:paraId="1288A5D6" w14:textId="77777777" w:rsidR="000D093C" w:rsidRPr="006B6999" w:rsidRDefault="002C3972" w:rsidP="006B699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A5D4C">
        <w:rPr>
          <w:rFonts w:ascii="Arial" w:hAnsi="Arial" w:cs="Arial"/>
          <w:b/>
          <w:sz w:val="24"/>
          <w:szCs w:val="24"/>
        </w:rPr>
        <w:t>I</w:t>
      </w:r>
      <w:r w:rsidR="000D093C" w:rsidRPr="00EA5D4C">
        <w:rPr>
          <w:rFonts w:ascii="Arial" w:hAnsi="Arial" w:cs="Arial"/>
          <w:b/>
          <w:sz w:val="24"/>
          <w:szCs w:val="24"/>
        </w:rPr>
        <w:t>ntegrated Statewide Information &amp; Referral Database</w:t>
      </w:r>
    </w:p>
    <w:p w14:paraId="2A9D096A" w14:textId="5CD6E6D5" w:rsidR="00FB3731" w:rsidRDefault="00FB3731" w:rsidP="7330B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EE1E0" w14:textId="77777777" w:rsidR="006B6999" w:rsidRDefault="006B6999" w:rsidP="009B718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FAC3B52" w14:textId="77777777" w:rsidR="003C2526" w:rsidRPr="00BF3748" w:rsidRDefault="003C2526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BF3748">
        <w:rPr>
          <w:rFonts w:ascii="Arial" w:hAnsi="Arial" w:cs="Arial"/>
          <w:b/>
          <w:color w:val="000000"/>
          <w:szCs w:val="24"/>
        </w:rPr>
        <w:t>Background information:</w:t>
      </w:r>
    </w:p>
    <w:p w14:paraId="1D6C96AD" w14:textId="77777777" w:rsidR="003C2526" w:rsidRPr="00BF3748" w:rsidRDefault="003C2526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9DD352D" w14:textId="15E7707B" w:rsidR="00833D48" w:rsidRPr="00BF3748" w:rsidRDefault="000D093C" w:rsidP="7330BDA6">
      <w:pPr>
        <w:spacing w:after="0" w:line="240" w:lineRule="auto"/>
        <w:rPr>
          <w:rFonts w:ascii="Arial" w:hAnsi="Arial" w:cs="Arial"/>
          <w:color w:val="000000"/>
        </w:rPr>
      </w:pPr>
      <w:r w:rsidRPr="7330BDA6">
        <w:rPr>
          <w:rFonts w:ascii="Arial" w:hAnsi="Arial" w:cs="Arial"/>
          <w:color w:val="000000" w:themeColor="text1"/>
        </w:rPr>
        <w:t xml:space="preserve">Florida’s eleven Aging and Disability Resource Centers </w:t>
      </w:r>
      <w:r w:rsidR="0039677A" w:rsidRPr="7330BDA6">
        <w:rPr>
          <w:rFonts w:ascii="Arial" w:hAnsi="Arial" w:cs="Arial"/>
          <w:color w:val="000000" w:themeColor="text1"/>
        </w:rPr>
        <w:t>(</w:t>
      </w:r>
      <w:r w:rsidR="00DF5B07" w:rsidRPr="7330BDA6">
        <w:rPr>
          <w:rFonts w:ascii="Arial" w:hAnsi="Arial" w:cs="Arial"/>
          <w:color w:val="000000" w:themeColor="text1"/>
        </w:rPr>
        <w:t xml:space="preserve">ADRCs) </w:t>
      </w:r>
      <w:r w:rsidR="0039677A" w:rsidRPr="7330BDA6">
        <w:rPr>
          <w:rFonts w:ascii="Arial" w:hAnsi="Arial" w:cs="Arial"/>
          <w:color w:val="000000" w:themeColor="text1"/>
        </w:rPr>
        <w:t xml:space="preserve">have a long history as Elder Helplines </w:t>
      </w:r>
      <w:r w:rsidR="008D1485" w:rsidRPr="7330BDA6">
        <w:rPr>
          <w:rFonts w:ascii="Arial" w:hAnsi="Arial" w:cs="Arial"/>
          <w:color w:val="000000" w:themeColor="text1"/>
        </w:rPr>
        <w:t xml:space="preserve">serving </w:t>
      </w:r>
      <w:r w:rsidR="00833D48" w:rsidRPr="7330BDA6">
        <w:rPr>
          <w:rFonts w:ascii="Arial" w:hAnsi="Arial" w:cs="Arial"/>
          <w:color w:val="000000" w:themeColor="text1"/>
        </w:rPr>
        <w:t xml:space="preserve">persons </w:t>
      </w:r>
      <w:r w:rsidR="7111132A" w:rsidRPr="7330BDA6">
        <w:rPr>
          <w:rFonts w:ascii="Arial" w:hAnsi="Arial" w:cs="Arial"/>
          <w:color w:val="000000" w:themeColor="text1"/>
        </w:rPr>
        <w:t>aged</w:t>
      </w:r>
      <w:r w:rsidR="00833D48" w:rsidRPr="7330BDA6">
        <w:rPr>
          <w:rFonts w:ascii="Arial" w:hAnsi="Arial" w:cs="Arial"/>
          <w:color w:val="000000" w:themeColor="text1"/>
        </w:rPr>
        <w:t xml:space="preserve"> 60 and above </w:t>
      </w:r>
      <w:r w:rsidRPr="7330BDA6">
        <w:rPr>
          <w:rFonts w:ascii="Arial" w:hAnsi="Arial" w:cs="Arial"/>
          <w:color w:val="000000" w:themeColor="text1"/>
        </w:rPr>
        <w:t>and those who care about them</w:t>
      </w:r>
      <w:r w:rsidR="00833D48" w:rsidRPr="7330BDA6">
        <w:rPr>
          <w:rFonts w:ascii="Arial" w:hAnsi="Arial" w:cs="Arial"/>
          <w:color w:val="000000" w:themeColor="text1"/>
        </w:rPr>
        <w:t>.</w:t>
      </w:r>
      <w:r w:rsidR="00BF3748" w:rsidRPr="7330BDA6">
        <w:rPr>
          <w:rFonts w:ascii="Arial" w:hAnsi="Arial" w:cs="Arial"/>
          <w:color w:val="000000" w:themeColor="text1"/>
        </w:rPr>
        <w:t xml:space="preserve">  </w:t>
      </w:r>
      <w:r w:rsidR="008D1485" w:rsidRPr="7330BDA6">
        <w:rPr>
          <w:rFonts w:ascii="Arial" w:hAnsi="Arial" w:cs="Arial"/>
          <w:color w:val="000000" w:themeColor="text1"/>
        </w:rPr>
        <w:t xml:space="preserve">The </w:t>
      </w:r>
      <w:r w:rsidR="00DF5B07" w:rsidRPr="7330BDA6">
        <w:rPr>
          <w:rFonts w:ascii="Arial" w:hAnsi="Arial" w:cs="Arial"/>
          <w:color w:val="000000" w:themeColor="text1"/>
        </w:rPr>
        <w:t xml:space="preserve">ADRCs </w:t>
      </w:r>
      <w:r w:rsidR="0051325C">
        <w:rPr>
          <w:rFonts w:ascii="Arial" w:hAnsi="Arial" w:cs="Arial"/>
          <w:color w:val="000000" w:themeColor="text1"/>
        </w:rPr>
        <w:t>also</w:t>
      </w:r>
      <w:r w:rsidR="008D1485" w:rsidRPr="7330BDA6">
        <w:rPr>
          <w:rFonts w:ascii="Arial" w:hAnsi="Arial" w:cs="Arial"/>
          <w:color w:val="000000" w:themeColor="text1"/>
        </w:rPr>
        <w:t xml:space="preserve"> </w:t>
      </w:r>
      <w:r w:rsidR="00DF5B07" w:rsidRPr="7330BDA6">
        <w:rPr>
          <w:rFonts w:ascii="Arial" w:hAnsi="Arial" w:cs="Arial"/>
          <w:color w:val="000000" w:themeColor="text1"/>
        </w:rPr>
        <w:t>provide access to resources for adults with disabilities</w:t>
      </w:r>
      <w:r w:rsidR="008D1485" w:rsidRPr="7330BDA6">
        <w:rPr>
          <w:rFonts w:ascii="Arial" w:hAnsi="Arial" w:cs="Arial"/>
          <w:color w:val="000000" w:themeColor="text1"/>
        </w:rPr>
        <w:t xml:space="preserve">, elders, </w:t>
      </w:r>
      <w:r w:rsidR="009B5762" w:rsidRPr="7330BDA6">
        <w:rPr>
          <w:rFonts w:ascii="Arial" w:hAnsi="Arial" w:cs="Arial"/>
          <w:color w:val="000000" w:themeColor="text1"/>
        </w:rPr>
        <w:t>and their caregivers</w:t>
      </w:r>
      <w:r w:rsidR="00DF5B07" w:rsidRPr="7330BDA6">
        <w:rPr>
          <w:rFonts w:ascii="Arial" w:hAnsi="Arial" w:cs="Arial"/>
          <w:color w:val="000000" w:themeColor="text1"/>
        </w:rPr>
        <w:t>.</w:t>
      </w:r>
      <w:r w:rsidR="009034FB" w:rsidRPr="7330BDA6">
        <w:rPr>
          <w:rFonts w:ascii="Arial" w:hAnsi="Arial" w:cs="Arial"/>
          <w:color w:val="000000" w:themeColor="text1"/>
        </w:rPr>
        <w:t xml:space="preserve"> </w:t>
      </w:r>
      <w:r w:rsidR="00833D48" w:rsidRPr="7330BDA6">
        <w:rPr>
          <w:rFonts w:ascii="Arial" w:hAnsi="Arial" w:cs="Arial"/>
          <w:color w:val="000000" w:themeColor="text1"/>
        </w:rPr>
        <w:t>The goal of the ADRCs is to</w:t>
      </w:r>
      <w:r w:rsidR="008D1485" w:rsidRPr="7330BDA6">
        <w:rPr>
          <w:rFonts w:ascii="Arial" w:hAnsi="Arial" w:cs="Arial"/>
          <w:color w:val="000000" w:themeColor="text1"/>
        </w:rPr>
        <w:t xml:space="preserve"> </w:t>
      </w:r>
      <w:r w:rsidR="00833D48" w:rsidRPr="7330BDA6">
        <w:rPr>
          <w:rFonts w:ascii="Arial" w:hAnsi="Arial" w:cs="Arial"/>
          <w:color w:val="000000" w:themeColor="text1"/>
        </w:rPr>
        <w:t xml:space="preserve">help </w:t>
      </w:r>
      <w:r w:rsidR="008D1485" w:rsidRPr="7330BDA6">
        <w:rPr>
          <w:rFonts w:ascii="Arial" w:hAnsi="Arial" w:cs="Arial"/>
          <w:color w:val="000000" w:themeColor="text1"/>
        </w:rPr>
        <w:t xml:space="preserve">these </w:t>
      </w:r>
      <w:r w:rsidR="00833D48" w:rsidRPr="7330BDA6">
        <w:rPr>
          <w:rFonts w:ascii="Arial" w:hAnsi="Arial" w:cs="Arial"/>
          <w:color w:val="000000" w:themeColor="text1"/>
        </w:rPr>
        <w:t xml:space="preserve">consumers understand and navigate the complex web of services available through government funded programs, non-profit agencies, and for-profit businesses.  </w:t>
      </w:r>
      <w:r w:rsidR="009034FB" w:rsidRPr="7330BDA6">
        <w:rPr>
          <w:rFonts w:ascii="Arial" w:hAnsi="Arial" w:cs="Arial"/>
          <w:color w:val="000000" w:themeColor="text1"/>
        </w:rPr>
        <w:t>Each ADRC</w:t>
      </w:r>
      <w:r w:rsidR="00833D48" w:rsidRPr="7330BDA6">
        <w:rPr>
          <w:rFonts w:ascii="Arial" w:hAnsi="Arial" w:cs="Arial"/>
          <w:color w:val="000000" w:themeColor="text1"/>
        </w:rPr>
        <w:t xml:space="preserve"> also serves as the entry point for federally and state-funded services for </w:t>
      </w:r>
      <w:r w:rsidR="009B5762" w:rsidRPr="7330BDA6">
        <w:rPr>
          <w:rFonts w:ascii="Arial" w:hAnsi="Arial" w:cs="Arial"/>
          <w:color w:val="000000" w:themeColor="text1"/>
        </w:rPr>
        <w:t>elders</w:t>
      </w:r>
      <w:r w:rsidR="00BF3748" w:rsidRPr="7330BDA6">
        <w:rPr>
          <w:rFonts w:ascii="Arial" w:hAnsi="Arial" w:cs="Arial"/>
          <w:color w:val="000000" w:themeColor="text1"/>
        </w:rPr>
        <w:t xml:space="preserve"> and for Medicaid managed </w:t>
      </w:r>
      <w:r w:rsidR="00833D48" w:rsidRPr="7330BDA6">
        <w:rPr>
          <w:rFonts w:ascii="Arial" w:hAnsi="Arial" w:cs="Arial"/>
          <w:color w:val="000000" w:themeColor="text1"/>
        </w:rPr>
        <w:t xml:space="preserve">long-term care </w:t>
      </w:r>
      <w:r w:rsidR="00BF3748" w:rsidRPr="7330BDA6">
        <w:rPr>
          <w:rFonts w:ascii="Arial" w:hAnsi="Arial" w:cs="Arial"/>
          <w:color w:val="000000" w:themeColor="text1"/>
        </w:rPr>
        <w:t xml:space="preserve">services </w:t>
      </w:r>
      <w:r w:rsidR="00833D48" w:rsidRPr="7330BDA6">
        <w:rPr>
          <w:rFonts w:ascii="Arial" w:hAnsi="Arial" w:cs="Arial"/>
          <w:color w:val="000000" w:themeColor="text1"/>
        </w:rPr>
        <w:t xml:space="preserve">for adults with a disability and </w:t>
      </w:r>
      <w:r w:rsidR="00E25748" w:rsidRPr="7330BDA6">
        <w:rPr>
          <w:rFonts w:ascii="Arial" w:hAnsi="Arial" w:cs="Arial"/>
          <w:color w:val="000000" w:themeColor="text1"/>
        </w:rPr>
        <w:t>elders</w:t>
      </w:r>
      <w:r w:rsidR="00833D48" w:rsidRPr="7330BDA6">
        <w:rPr>
          <w:rFonts w:ascii="Arial" w:hAnsi="Arial" w:cs="Arial"/>
          <w:color w:val="000000" w:themeColor="text1"/>
        </w:rPr>
        <w:t xml:space="preserve">. </w:t>
      </w:r>
    </w:p>
    <w:p w14:paraId="664DE061" w14:textId="77777777" w:rsidR="00BF3748" w:rsidRPr="00BF3748" w:rsidRDefault="00BF3748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54A5CBB1" w14:textId="77777777" w:rsidR="000D093C" w:rsidRPr="00BF3748" w:rsidRDefault="00F86161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BF3748">
        <w:rPr>
          <w:rFonts w:ascii="Arial" w:hAnsi="Arial" w:cs="Arial"/>
          <w:color w:val="000000"/>
          <w:szCs w:val="24"/>
        </w:rPr>
        <w:t>Florida’s ADRC</w:t>
      </w:r>
      <w:r w:rsidR="00066CF1" w:rsidRPr="00BF3748">
        <w:rPr>
          <w:rFonts w:ascii="Arial" w:hAnsi="Arial" w:cs="Arial"/>
          <w:color w:val="000000"/>
          <w:szCs w:val="24"/>
        </w:rPr>
        <w:t>s</w:t>
      </w:r>
      <w:r w:rsidRPr="00BF3748">
        <w:rPr>
          <w:rFonts w:ascii="Arial" w:hAnsi="Arial" w:cs="Arial"/>
          <w:color w:val="000000"/>
          <w:szCs w:val="24"/>
        </w:rPr>
        <w:t xml:space="preserve"> have a unique partnership, work in conjunction to serve their commun</w:t>
      </w:r>
      <w:r w:rsidR="00436AC3" w:rsidRPr="00BF3748">
        <w:rPr>
          <w:rFonts w:ascii="Arial" w:hAnsi="Arial" w:cs="Arial"/>
          <w:color w:val="000000"/>
          <w:szCs w:val="24"/>
        </w:rPr>
        <w:t>ities, and they share one state</w:t>
      </w:r>
      <w:r w:rsidR="00BF3748">
        <w:rPr>
          <w:rFonts w:ascii="Arial" w:hAnsi="Arial" w:cs="Arial"/>
          <w:color w:val="000000"/>
          <w:szCs w:val="24"/>
        </w:rPr>
        <w:t>-</w:t>
      </w:r>
      <w:r w:rsidRPr="00BF3748">
        <w:rPr>
          <w:rFonts w:ascii="Arial" w:hAnsi="Arial" w:cs="Arial"/>
          <w:color w:val="000000"/>
          <w:szCs w:val="24"/>
        </w:rPr>
        <w:t>wide resource database.</w:t>
      </w:r>
      <w:r w:rsidR="00833D48" w:rsidRPr="00BF3748">
        <w:rPr>
          <w:rFonts w:ascii="Arial" w:hAnsi="Arial" w:cs="Arial"/>
          <w:color w:val="000000"/>
          <w:szCs w:val="24"/>
        </w:rPr>
        <w:t xml:space="preserve"> </w:t>
      </w:r>
      <w:r w:rsidR="00DF5B07" w:rsidRPr="00BF3748">
        <w:rPr>
          <w:rFonts w:ascii="Arial" w:hAnsi="Arial" w:cs="Arial"/>
          <w:color w:val="000000"/>
          <w:szCs w:val="24"/>
        </w:rPr>
        <w:t>T</w:t>
      </w:r>
      <w:r w:rsidR="000D093C" w:rsidRPr="00BF3748">
        <w:rPr>
          <w:rFonts w:ascii="Arial" w:hAnsi="Arial" w:cs="Arial"/>
          <w:color w:val="000000"/>
          <w:szCs w:val="24"/>
        </w:rPr>
        <w:t xml:space="preserve">he </w:t>
      </w:r>
      <w:r w:rsidR="00DF5B07" w:rsidRPr="00BF3748">
        <w:rPr>
          <w:rFonts w:ascii="Arial" w:hAnsi="Arial" w:cs="Arial"/>
          <w:color w:val="000000"/>
          <w:szCs w:val="24"/>
        </w:rPr>
        <w:t>ADRCs</w:t>
      </w:r>
      <w:r w:rsidR="000D093C" w:rsidRPr="00BF3748">
        <w:rPr>
          <w:rFonts w:ascii="Arial" w:hAnsi="Arial" w:cs="Arial"/>
          <w:color w:val="000000"/>
          <w:szCs w:val="24"/>
        </w:rPr>
        <w:t xml:space="preserve"> </w:t>
      </w:r>
      <w:r w:rsidR="00296465" w:rsidRPr="00BF3748">
        <w:rPr>
          <w:rFonts w:ascii="Arial" w:hAnsi="Arial" w:cs="Arial"/>
          <w:color w:val="000000"/>
          <w:szCs w:val="24"/>
        </w:rPr>
        <w:t xml:space="preserve">maintain this database to </w:t>
      </w:r>
      <w:r w:rsidR="000D093C" w:rsidRPr="00BF3748">
        <w:rPr>
          <w:rFonts w:ascii="Arial" w:hAnsi="Arial" w:cs="Arial"/>
          <w:color w:val="000000"/>
          <w:szCs w:val="24"/>
        </w:rPr>
        <w:t xml:space="preserve">help </w:t>
      </w:r>
      <w:r w:rsidR="00DF5B07" w:rsidRPr="00BF3748">
        <w:rPr>
          <w:rFonts w:ascii="Arial" w:hAnsi="Arial" w:cs="Arial"/>
          <w:color w:val="000000"/>
          <w:szCs w:val="24"/>
        </w:rPr>
        <w:t>people</w:t>
      </w:r>
      <w:r w:rsidR="000D093C" w:rsidRPr="00BF3748">
        <w:rPr>
          <w:rFonts w:ascii="Arial" w:hAnsi="Arial" w:cs="Arial"/>
          <w:color w:val="000000"/>
          <w:szCs w:val="24"/>
        </w:rPr>
        <w:t xml:space="preserve"> find information, resources, and services that can provide assistance on a variety of issues</w:t>
      </w:r>
      <w:r w:rsidR="00296465" w:rsidRPr="00BF3748">
        <w:rPr>
          <w:rFonts w:ascii="Arial" w:hAnsi="Arial" w:cs="Arial"/>
          <w:color w:val="000000"/>
          <w:szCs w:val="24"/>
        </w:rPr>
        <w:t>,</w:t>
      </w:r>
      <w:r w:rsidR="000D093C" w:rsidRPr="00BF3748">
        <w:rPr>
          <w:rFonts w:ascii="Arial" w:hAnsi="Arial" w:cs="Arial"/>
          <w:color w:val="000000"/>
          <w:szCs w:val="24"/>
        </w:rPr>
        <w:t xml:space="preserve"> </w:t>
      </w:r>
      <w:r w:rsidR="00296465" w:rsidRPr="00BF3748">
        <w:rPr>
          <w:rFonts w:ascii="Arial" w:hAnsi="Arial" w:cs="Arial"/>
          <w:color w:val="000000"/>
          <w:szCs w:val="24"/>
        </w:rPr>
        <w:t xml:space="preserve">enabling seniors, </w:t>
      </w:r>
      <w:r w:rsidR="000579A2" w:rsidRPr="00BF3748">
        <w:rPr>
          <w:rFonts w:ascii="Arial" w:hAnsi="Arial" w:cs="Arial"/>
          <w:color w:val="000000"/>
          <w:szCs w:val="24"/>
        </w:rPr>
        <w:t>grandparents raising grandchildren, persons with a disability</w:t>
      </w:r>
      <w:r w:rsidR="00296465" w:rsidRPr="00BF3748">
        <w:rPr>
          <w:rFonts w:ascii="Arial" w:hAnsi="Arial" w:cs="Arial"/>
          <w:color w:val="000000"/>
          <w:szCs w:val="24"/>
        </w:rPr>
        <w:t xml:space="preserve">, and </w:t>
      </w:r>
      <w:r w:rsidR="000D093C" w:rsidRPr="00BF3748">
        <w:rPr>
          <w:rFonts w:ascii="Arial" w:hAnsi="Arial" w:cs="Arial"/>
          <w:color w:val="000000"/>
          <w:szCs w:val="24"/>
        </w:rPr>
        <w:t>caregiver</w:t>
      </w:r>
      <w:r w:rsidR="00296465" w:rsidRPr="00BF3748">
        <w:rPr>
          <w:rFonts w:ascii="Arial" w:hAnsi="Arial" w:cs="Arial"/>
          <w:color w:val="000000"/>
          <w:szCs w:val="24"/>
        </w:rPr>
        <w:t>s</w:t>
      </w:r>
      <w:r w:rsidR="000D093C" w:rsidRPr="00BF3748">
        <w:rPr>
          <w:rFonts w:ascii="Arial" w:hAnsi="Arial" w:cs="Arial"/>
          <w:color w:val="000000"/>
          <w:szCs w:val="24"/>
        </w:rPr>
        <w:t xml:space="preserve"> to make informed decisions.  To support this goal, Florida’s </w:t>
      </w:r>
      <w:r w:rsidR="00DF5B07" w:rsidRPr="00BF3748">
        <w:rPr>
          <w:rFonts w:ascii="Arial" w:hAnsi="Arial" w:cs="Arial"/>
          <w:color w:val="000000"/>
          <w:szCs w:val="24"/>
        </w:rPr>
        <w:t xml:space="preserve">ADRCs </w:t>
      </w:r>
      <w:r w:rsidR="000D093C" w:rsidRPr="00BF3748">
        <w:rPr>
          <w:rFonts w:ascii="Arial" w:hAnsi="Arial" w:cs="Arial"/>
          <w:color w:val="000000"/>
          <w:szCs w:val="24"/>
        </w:rPr>
        <w:t>have set forth the following</w:t>
      </w:r>
      <w:r w:rsidR="00DF5B07" w:rsidRPr="00BF3748">
        <w:rPr>
          <w:rFonts w:ascii="Arial" w:hAnsi="Arial" w:cs="Arial"/>
          <w:color w:val="000000"/>
          <w:szCs w:val="24"/>
        </w:rPr>
        <w:t xml:space="preserve"> state-wide</w:t>
      </w:r>
      <w:r w:rsidR="000D093C" w:rsidRPr="00BF3748">
        <w:rPr>
          <w:rFonts w:ascii="Arial" w:hAnsi="Arial" w:cs="Arial"/>
          <w:color w:val="000000"/>
          <w:szCs w:val="24"/>
        </w:rPr>
        <w:t xml:space="preserve"> inclusion a</w:t>
      </w:r>
      <w:r w:rsidR="00071279" w:rsidRPr="00BF3748">
        <w:rPr>
          <w:rFonts w:ascii="Arial" w:hAnsi="Arial" w:cs="Arial"/>
          <w:color w:val="000000"/>
          <w:szCs w:val="24"/>
        </w:rPr>
        <w:t xml:space="preserve">nd exclusion guidelines for the </w:t>
      </w:r>
      <w:r w:rsidR="000D093C" w:rsidRPr="00BF3748">
        <w:rPr>
          <w:rFonts w:ascii="Arial" w:hAnsi="Arial" w:cs="Arial"/>
          <w:color w:val="000000"/>
          <w:szCs w:val="24"/>
        </w:rPr>
        <w:t>Integrated State</w:t>
      </w:r>
      <w:r w:rsidR="00BF3748">
        <w:rPr>
          <w:rFonts w:ascii="Arial" w:hAnsi="Arial" w:cs="Arial"/>
          <w:color w:val="000000"/>
          <w:szCs w:val="24"/>
        </w:rPr>
        <w:t>-</w:t>
      </w:r>
      <w:r w:rsidR="000D093C" w:rsidRPr="00BF3748">
        <w:rPr>
          <w:rFonts w:ascii="Arial" w:hAnsi="Arial" w:cs="Arial"/>
          <w:color w:val="000000"/>
          <w:szCs w:val="24"/>
        </w:rPr>
        <w:t>wide Information and Referral Resource Database</w:t>
      </w:r>
      <w:r w:rsidR="00DF5B07" w:rsidRPr="00BF3748">
        <w:rPr>
          <w:rFonts w:ascii="Arial" w:hAnsi="Arial" w:cs="Arial"/>
          <w:color w:val="000000"/>
          <w:szCs w:val="24"/>
        </w:rPr>
        <w:t xml:space="preserve"> that they share</w:t>
      </w:r>
      <w:r w:rsidR="000D093C" w:rsidRPr="00BF3748">
        <w:rPr>
          <w:rFonts w:ascii="Arial" w:hAnsi="Arial" w:cs="Arial"/>
          <w:color w:val="000000"/>
          <w:szCs w:val="24"/>
        </w:rPr>
        <w:t xml:space="preserve">.  </w:t>
      </w:r>
    </w:p>
    <w:p w14:paraId="77843910" w14:textId="77777777" w:rsidR="005B6B15" w:rsidRPr="00BF3748" w:rsidRDefault="005B6B15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268E0D01" w14:textId="77777777" w:rsidR="00296465" w:rsidRPr="00BF3748" w:rsidRDefault="00296465" w:rsidP="00296465">
      <w:pPr>
        <w:numPr>
          <w:ilvl w:val="0"/>
          <w:numId w:val="9"/>
        </w:numPr>
        <w:spacing w:after="0" w:line="240" w:lineRule="auto"/>
        <w:ind w:left="360" w:hanging="360"/>
        <w:rPr>
          <w:rFonts w:ascii="Arial" w:hAnsi="Arial" w:cs="Arial"/>
          <w:b/>
          <w:color w:val="000000"/>
          <w:szCs w:val="24"/>
        </w:rPr>
      </w:pPr>
      <w:r w:rsidRPr="00BF3748">
        <w:rPr>
          <w:rFonts w:ascii="Arial" w:hAnsi="Arial" w:cs="Arial"/>
          <w:b/>
          <w:color w:val="000000"/>
          <w:szCs w:val="24"/>
        </w:rPr>
        <w:t>Minimum requirements:</w:t>
      </w:r>
    </w:p>
    <w:p w14:paraId="3295B24F" w14:textId="77777777" w:rsidR="00296465" w:rsidRPr="00BF3748" w:rsidRDefault="00296465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33E65D76" w14:textId="77777777" w:rsidR="000D093C" w:rsidRPr="00BF3748" w:rsidRDefault="000D093C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BF3748">
        <w:rPr>
          <w:rFonts w:ascii="Arial" w:hAnsi="Arial" w:cs="Arial"/>
          <w:color w:val="000000"/>
          <w:szCs w:val="24"/>
        </w:rPr>
        <w:t xml:space="preserve">These guidelines are uniformly applied so staff and the public are aware of the scope and limitations of the </w:t>
      </w:r>
      <w:r w:rsidR="00435C1A">
        <w:rPr>
          <w:rFonts w:ascii="Arial" w:hAnsi="Arial" w:cs="Arial"/>
          <w:color w:val="000000"/>
          <w:szCs w:val="24"/>
        </w:rPr>
        <w:t xml:space="preserve">resource </w:t>
      </w:r>
      <w:r w:rsidRPr="00BF3748">
        <w:rPr>
          <w:rFonts w:ascii="Arial" w:hAnsi="Arial" w:cs="Arial"/>
          <w:color w:val="000000"/>
          <w:szCs w:val="24"/>
        </w:rPr>
        <w:t xml:space="preserve">database.  </w:t>
      </w:r>
    </w:p>
    <w:p w14:paraId="279C4CC3" w14:textId="77777777" w:rsidR="000D093C" w:rsidRPr="00BF3748" w:rsidRDefault="000D093C">
      <w:pPr>
        <w:spacing w:after="0" w:line="240" w:lineRule="auto"/>
        <w:rPr>
          <w:rFonts w:ascii="Arial" w:hAnsi="Arial" w:cs="Arial"/>
          <w:szCs w:val="24"/>
          <w:u w:val="single"/>
        </w:rPr>
      </w:pPr>
    </w:p>
    <w:p w14:paraId="3239A6F6" w14:textId="77777777" w:rsidR="000D093C" w:rsidRPr="00BF3748" w:rsidRDefault="000D093C" w:rsidP="00E41C0C">
      <w:pPr>
        <w:spacing w:after="0" w:line="240" w:lineRule="auto"/>
        <w:ind w:left="360"/>
        <w:rPr>
          <w:rFonts w:ascii="Arial" w:hAnsi="Arial" w:cs="Arial"/>
          <w:szCs w:val="24"/>
          <w:u w:val="single"/>
        </w:rPr>
      </w:pPr>
      <w:r w:rsidRPr="00BF3748">
        <w:rPr>
          <w:rFonts w:ascii="Arial" w:hAnsi="Arial" w:cs="Arial"/>
          <w:szCs w:val="24"/>
          <w:u w:val="single"/>
        </w:rPr>
        <w:t>The following are minimum requirements for inclusion</w:t>
      </w:r>
      <w:r w:rsidR="00FB3731" w:rsidRPr="00BF3748">
        <w:rPr>
          <w:rFonts w:ascii="Arial" w:hAnsi="Arial" w:cs="Arial"/>
          <w:szCs w:val="24"/>
          <w:u w:val="single"/>
        </w:rPr>
        <w:t xml:space="preserve"> by all </w:t>
      </w:r>
      <w:r w:rsidR="00071279" w:rsidRPr="00BF3748">
        <w:rPr>
          <w:rFonts w:ascii="Arial" w:hAnsi="Arial" w:cs="Arial"/>
          <w:szCs w:val="24"/>
          <w:u w:val="single"/>
        </w:rPr>
        <w:t>ADRCs</w:t>
      </w:r>
      <w:r w:rsidRPr="00BF3748">
        <w:rPr>
          <w:rFonts w:ascii="Arial" w:hAnsi="Arial" w:cs="Arial"/>
          <w:szCs w:val="24"/>
          <w:u w:val="single"/>
        </w:rPr>
        <w:t xml:space="preserve">: </w:t>
      </w:r>
    </w:p>
    <w:p w14:paraId="68C70834" w14:textId="77777777" w:rsidR="00296465" w:rsidRPr="00BF3748" w:rsidRDefault="00296465" w:rsidP="00296465">
      <w:pPr>
        <w:spacing w:after="0" w:line="240" w:lineRule="auto"/>
        <w:ind w:left="1080"/>
        <w:rPr>
          <w:rFonts w:ascii="Arial" w:hAnsi="Arial" w:cs="Arial"/>
          <w:szCs w:val="24"/>
          <w:u w:val="single"/>
        </w:rPr>
      </w:pPr>
    </w:p>
    <w:p w14:paraId="36928EC1" w14:textId="77777777" w:rsidR="000D093C" w:rsidRPr="00BF3748" w:rsidRDefault="000D093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BF3748">
        <w:rPr>
          <w:rFonts w:ascii="Arial" w:hAnsi="Arial" w:cs="Arial"/>
          <w:color w:val="000000"/>
          <w:szCs w:val="24"/>
        </w:rPr>
        <w:t>Entity must have been conducting business for at least one (1) year.</w:t>
      </w:r>
    </w:p>
    <w:p w14:paraId="2F7B501D" w14:textId="77777777" w:rsidR="00BF3748" w:rsidRPr="00BF3748" w:rsidRDefault="000D093C" w:rsidP="00BF37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BF3748">
        <w:rPr>
          <w:rFonts w:ascii="Arial" w:hAnsi="Arial" w:cs="Arial"/>
          <w:color w:val="000000"/>
          <w:szCs w:val="24"/>
        </w:rPr>
        <w:t>Entities, both private and public, must provide or coordinate health and human services for elders</w:t>
      </w:r>
      <w:r w:rsidR="009B5762" w:rsidRPr="00BF3748">
        <w:rPr>
          <w:rFonts w:ascii="Arial" w:hAnsi="Arial" w:cs="Arial"/>
          <w:color w:val="000000"/>
          <w:szCs w:val="24"/>
        </w:rPr>
        <w:t>, adults with a disability,</w:t>
      </w:r>
      <w:r w:rsidRPr="00BF3748">
        <w:rPr>
          <w:rFonts w:ascii="Arial" w:hAnsi="Arial" w:cs="Arial"/>
          <w:color w:val="000000"/>
          <w:szCs w:val="24"/>
        </w:rPr>
        <w:t xml:space="preserve"> and their caregivers </w:t>
      </w:r>
    </w:p>
    <w:p w14:paraId="378E8A0F" w14:textId="12AB50CB" w:rsidR="000D093C" w:rsidRDefault="000D093C" w:rsidP="7330BDA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7330BDA6">
        <w:rPr>
          <w:rFonts w:ascii="Arial" w:hAnsi="Arial" w:cs="Arial"/>
        </w:rPr>
        <w:t>If required by the State of Florida or the federal government, the entity must maintain a license, certification, or registration</w:t>
      </w:r>
    </w:p>
    <w:p w14:paraId="002988BB" w14:textId="77777777" w:rsidR="000D093C" w:rsidRPr="00BF3748" w:rsidRDefault="000D093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7330BDA6">
        <w:rPr>
          <w:rFonts w:ascii="Arial" w:hAnsi="Arial" w:cs="Arial"/>
        </w:rPr>
        <w:lastRenderedPageBreak/>
        <w:t xml:space="preserve">Organizations located outside individual </w:t>
      </w:r>
      <w:r w:rsidR="000E30ED" w:rsidRPr="7330BDA6">
        <w:rPr>
          <w:rFonts w:ascii="Arial" w:hAnsi="Arial" w:cs="Arial"/>
        </w:rPr>
        <w:t xml:space="preserve">ADRC </w:t>
      </w:r>
      <w:r w:rsidRPr="7330BDA6">
        <w:rPr>
          <w:rFonts w:ascii="Arial" w:hAnsi="Arial" w:cs="Arial"/>
        </w:rPr>
        <w:t>service areas will be considered for inclusion if they se</w:t>
      </w:r>
      <w:r w:rsidR="00071279" w:rsidRPr="7330BDA6">
        <w:rPr>
          <w:rFonts w:ascii="Arial" w:hAnsi="Arial" w:cs="Arial"/>
        </w:rPr>
        <w:t xml:space="preserve">rve elders, </w:t>
      </w:r>
      <w:r w:rsidR="009B5762" w:rsidRPr="7330BDA6">
        <w:rPr>
          <w:rFonts w:ascii="Arial" w:hAnsi="Arial" w:cs="Arial"/>
          <w:color w:val="000000" w:themeColor="text1"/>
        </w:rPr>
        <w:t>adults with a disability</w:t>
      </w:r>
      <w:r w:rsidR="009B5762" w:rsidRPr="7330BDA6">
        <w:rPr>
          <w:rFonts w:ascii="Arial" w:hAnsi="Arial" w:cs="Arial"/>
        </w:rPr>
        <w:t xml:space="preserve">, and </w:t>
      </w:r>
      <w:r w:rsidR="00071279" w:rsidRPr="7330BDA6">
        <w:rPr>
          <w:rFonts w:ascii="Arial" w:hAnsi="Arial" w:cs="Arial"/>
        </w:rPr>
        <w:t>their caregivers,</w:t>
      </w:r>
      <w:r w:rsidRPr="7330BDA6">
        <w:rPr>
          <w:rFonts w:ascii="Arial" w:hAnsi="Arial" w:cs="Arial"/>
        </w:rPr>
        <w:t xml:space="preserve"> or offer unique services that are not available in the service area.</w:t>
      </w:r>
    </w:p>
    <w:p w14:paraId="546F2754" w14:textId="77777777" w:rsidR="005B6B15" w:rsidRPr="00BF3748" w:rsidRDefault="005B6B15" w:rsidP="00E41C0C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/>
          <w:szCs w:val="24"/>
        </w:rPr>
      </w:pPr>
    </w:p>
    <w:p w14:paraId="4744A09A" w14:textId="77777777" w:rsidR="000D093C" w:rsidRPr="00BF3748" w:rsidRDefault="00BF3748" w:rsidP="00BF3748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II.   </w:t>
      </w:r>
      <w:r w:rsidR="00296465" w:rsidRPr="00BF3748">
        <w:rPr>
          <w:rFonts w:ascii="Arial" w:hAnsi="Arial" w:cs="Arial"/>
          <w:b/>
          <w:szCs w:val="24"/>
        </w:rPr>
        <w:t xml:space="preserve">Examples </w:t>
      </w:r>
      <w:r w:rsidR="000D093C" w:rsidRPr="00BF3748">
        <w:rPr>
          <w:rFonts w:ascii="Arial" w:hAnsi="Arial" w:cs="Arial"/>
          <w:b/>
          <w:color w:val="000000"/>
          <w:szCs w:val="24"/>
        </w:rPr>
        <w:t xml:space="preserve">of types of entities that </w:t>
      </w:r>
      <w:r w:rsidR="00EE2098" w:rsidRPr="00BF3748">
        <w:rPr>
          <w:rFonts w:ascii="Arial" w:hAnsi="Arial" w:cs="Arial"/>
          <w:b/>
          <w:color w:val="000000"/>
          <w:szCs w:val="24"/>
        </w:rPr>
        <w:t>may</w:t>
      </w:r>
      <w:r w:rsidR="000D093C" w:rsidRPr="00BF3748">
        <w:rPr>
          <w:rFonts w:ascii="Arial" w:hAnsi="Arial" w:cs="Arial"/>
          <w:b/>
          <w:color w:val="000000"/>
          <w:szCs w:val="24"/>
        </w:rPr>
        <w:t xml:space="preserve"> be included</w:t>
      </w:r>
      <w:r w:rsidR="00E41C0C" w:rsidRPr="00BF3748">
        <w:rPr>
          <w:rFonts w:ascii="Arial" w:hAnsi="Arial" w:cs="Arial"/>
          <w:b/>
          <w:color w:val="000000"/>
          <w:szCs w:val="24"/>
        </w:rPr>
        <w:t xml:space="preserve"> if they meet the minimum standards above.</w:t>
      </w:r>
      <w:r w:rsidR="00320C61" w:rsidRPr="00BF3748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(</w:t>
      </w:r>
      <w:r w:rsidR="00320C61" w:rsidRPr="00BF3748">
        <w:rPr>
          <w:rFonts w:ascii="Arial" w:hAnsi="Arial" w:cs="Arial"/>
          <w:color w:val="000000"/>
          <w:szCs w:val="24"/>
        </w:rPr>
        <w:t xml:space="preserve">Note: </w:t>
      </w:r>
      <w:r w:rsidR="00E41C0C" w:rsidRPr="00BF3748">
        <w:rPr>
          <w:rFonts w:ascii="Arial" w:hAnsi="Arial" w:cs="Arial"/>
          <w:color w:val="000000"/>
          <w:szCs w:val="24"/>
        </w:rPr>
        <w:t>I</w:t>
      </w:r>
      <w:r w:rsidR="000D093C" w:rsidRPr="00BF3748">
        <w:rPr>
          <w:rFonts w:ascii="Arial" w:hAnsi="Arial" w:cs="Arial"/>
          <w:color w:val="000000"/>
          <w:szCs w:val="24"/>
        </w:rPr>
        <w:t xml:space="preserve">nclusion </w:t>
      </w:r>
      <w:r w:rsidR="00320C61" w:rsidRPr="00BF3748">
        <w:rPr>
          <w:rFonts w:ascii="Arial" w:hAnsi="Arial" w:cs="Arial"/>
          <w:color w:val="000000"/>
          <w:szCs w:val="24"/>
        </w:rPr>
        <w:t xml:space="preserve">of a resource for a local service area </w:t>
      </w:r>
      <w:r w:rsidR="000D093C" w:rsidRPr="00BF3748">
        <w:rPr>
          <w:rFonts w:ascii="Arial" w:hAnsi="Arial" w:cs="Arial"/>
          <w:color w:val="000000"/>
          <w:szCs w:val="24"/>
        </w:rPr>
        <w:t xml:space="preserve">is </w:t>
      </w:r>
      <w:r w:rsidR="00EF2EDD" w:rsidRPr="00BF3748">
        <w:rPr>
          <w:rFonts w:ascii="Arial" w:hAnsi="Arial" w:cs="Arial"/>
          <w:color w:val="000000"/>
          <w:szCs w:val="24"/>
        </w:rPr>
        <w:t>at</w:t>
      </w:r>
      <w:r w:rsidR="000D093C" w:rsidRPr="00BF3748">
        <w:rPr>
          <w:rFonts w:ascii="Arial" w:hAnsi="Arial" w:cs="Arial"/>
          <w:color w:val="000000"/>
          <w:szCs w:val="24"/>
        </w:rPr>
        <w:t xml:space="preserve"> the discretion of each individual </w:t>
      </w:r>
      <w:r w:rsidR="00EE2098" w:rsidRPr="00BF3748">
        <w:rPr>
          <w:rFonts w:ascii="Arial" w:hAnsi="Arial" w:cs="Arial"/>
          <w:color w:val="000000"/>
          <w:szCs w:val="24"/>
        </w:rPr>
        <w:t>ADRC</w:t>
      </w:r>
      <w:r w:rsidR="00320C61" w:rsidRPr="00BF3748">
        <w:rPr>
          <w:rFonts w:ascii="Arial" w:hAnsi="Arial" w:cs="Arial"/>
          <w:color w:val="000000"/>
          <w:szCs w:val="24"/>
        </w:rPr>
        <w:t>)</w:t>
      </w:r>
      <w:r w:rsidR="00071279" w:rsidRPr="00BF3748">
        <w:rPr>
          <w:rFonts w:ascii="Arial" w:hAnsi="Arial" w:cs="Arial"/>
          <w:color w:val="000000"/>
          <w:szCs w:val="24"/>
        </w:rPr>
        <w:t xml:space="preserve"> </w:t>
      </w:r>
    </w:p>
    <w:p w14:paraId="2ED20911" w14:textId="77777777" w:rsidR="000D093C" w:rsidRPr="00BF3748" w:rsidRDefault="000D093C">
      <w:pPr>
        <w:pStyle w:val="ListParagraph"/>
        <w:spacing w:after="0" w:line="240" w:lineRule="auto"/>
        <w:ind w:left="1080"/>
        <w:rPr>
          <w:rFonts w:ascii="Arial" w:hAnsi="Arial" w:cs="Arial"/>
          <w:szCs w:val="24"/>
          <w:u w:val="single"/>
        </w:rPr>
      </w:pPr>
    </w:p>
    <w:p w14:paraId="4AB291D7" w14:textId="77777777" w:rsidR="000D093C" w:rsidRPr="00BF3748" w:rsidRDefault="000D093C" w:rsidP="00E445C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color w:val="000000"/>
          <w:szCs w:val="24"/>
        </w:rPr>
      </w:pPr>
      <w:r w:rsidRPr="00BF3748">
        <w:rPr>
          <w:rFonts w:ascii="Arial" w:hAnsi="Arial" w:cs="Arial"/>
          <w:color w:val="000000"/>
          <w:szCs w:val="24"/>
        </w:rPr>
        <w:t>Government agencies.</w:t>
      </w:r>
    </w:p>
    <w:p w14:paraId="3F91B594" w14:textId="77777777" w:rsidR="000D093C" w:rsidRPr="00BF3748" w:rsidRDefault="000D093C" w:rsidP="00E445C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Cs w:val="24"/>
        </w:rPr>
      </w:pPr>
      <w:r w:rsidRPr="00BF3748">
        <w:rPr>
          <w:rFonts w:ascii="Arial" w:hAnsi="Arial" w:cs="Arial"/>
          <w:color w:val="000000"/>
          <w:szCs w:val="24"/>
        </w:rPr>
        <w:t>For-profit and not-for-profit businesses and organizations.</w:t>
      </w:r>
    </w:p>
    <w:p w14:paraId="53EFCBC0" w14:textId="77777777" w:rsidR="000D093C" w:rsidRPr="00BF3748" w:rsidRDefault="000D093C" w:rsidP="00E445C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Cs w:val="24"/>
        </w:rPr>
      </w:pPr>
      <w:r w:rsidRPr="00BF3748">
        <w:rPr>
          <w:rFonts w:ascii="Arial" w:hAnsi="Arial" w:cs="Arial"/>
          <w:color w:val="000000"/>
          <w:szCs w:val="24"/>
        </w:rPr>
        <w:t>Entities contracting with the Florida Department of Elder Affairs, an Area Agency on Aging/</w:t>
      </w:r>
      <w:r w:rsidR="0071723B" w:rsidRPr="00BF3748">
        <w:rPr>
          <w:rFonts w:ascii="Arial" w:hAnsi="Arial" w:cs="Arial"/>
          <w:color w:val="000000"/>
          <w:szCs w:val="24"/>
        </w:rPr>
        <w:t>Aging and Disability Resource Center</w:t>
      </w:r>
      <w:r w:rsidRPr="00BF3748">
        <w:rPr>
          <w:rFonts w:ascii="Arial" w:hAnsi="Arial" w:cs="Arial"/>
          <w:color w:val="000000"/>
          <w:szCs w:val="24"/>
        </w:rPr>
        <w:t>, Lead Agency, or the Florida Department of Children and Families to provide services.</w:t>
      </w:r>
    </w:p>
    <w:p w14:paraId="31686E8D" w14:textId="77777777" w:rsidR="000D093C" w:rsidRPr="00BF3748" w:rsidRDefault="000D093C" w:rsidP="00E445C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Cs w:val="24"/>
        </w:rPr>
      </w:pPr>
      <w:r w:rsidRPr="7330BDA6">
        <w:rPr>
          <w:rFonts w:ascii="Arial" w:hAnsi="Arial" w:cs="Arial"/>
          <w:color w:val="000000" w:themeColor="text1"/>
        </w:rPr>
        <w:t>Medicare and/or Medicaid certified provider agencies or professional practitioners.</w:t>
      </w:r>
    </w:p>
    <w:p w14:paraId="6715EEDC" w14:textId="231DB660" w:rsidR="59FDA18B" w:rsidRDefault="59FDA18B" w:rsidP="7330BDA6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 w:rsidRPr="7330BDA6">
        <w:rPr>
          <w:rFonts w:ascii="Arial" w:hAnsi="Arial" w:cs="Arial"/>
          <w:color w:val="000000" w:themeColor="text1"/>
        </w:rPr>
        <w:t>Licensed adult day care centers and hospitals.</w:t>
      </w:r>
    </w:p>
    <w:p w14:paraId="74DB6724" w14:textId="2C8E16CB" w:rsidR="000D093C" w:rsidRPr="00BF3748" w:rsidRDefault="000D093C" w:rsidP="7330BDA6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 w:rsidRPr="7330BDA6">
        <w:rPr>
          <w:rFonts w:ascii="Arial" w:hAnsi="Arial" w:cs="Arial"/>
          <w:color w:val="000000" w:themeColor="text1"/>
        </w:rPr>
        <w:t>Insurance companies authorized by the Department of Financial Services to transact business in Florida.</w:t>
      </w:r>
    </w:p>
    <w:p w14:paraId="2010C7BE" w14:textId="77777777" w:rsidR="000D093C" w:rsidRPr="00BF3748" w:rsidRDefault="000D093C" w:rsidP="00E445C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Cs w:val="24"/>
        </w:rPr>
      </w:pPr>
      <w:r w:rsidRPr="7330BDA6">
        <w:rPr>
          <w:rFonts w:ascii="Arial" w:hAnsi="Arial" w:cs="Arial"/>
          <w:color w:val="000000" w:themeColor="text1"/>
        </w:rPr>
        <w:t>Faith-based organizations, social clubs, professional organizations, volunteer organizations, advocacy groups, or support groups.</w:t>
      </w:r>
    </w:p>
    <w:p w14:paraId="3ECB7AA6" w14:textId="0D7188E3" w:rsidR="000D093C" w:rsidRPr="00BF3748" w:rsidRDefault="000D093C" w:rsidP="7330BDA6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 w:rsidRPr="7330BDA6">
        <w:rPr>
          <w:rFonts w:ascii="Arial" w:hAnsi="Arial" w:cs="Arial"/>
          <w:color w:val="000000" w:themeColor="text1"/>
        </w:rPr>
        <w:t xml:space="preserve">Entities </w:t>
      </w:r>
      <w:r w:rsidR="744FC6EF" w:rsidRPr="7330BDA6">
        <w:rPr>
          <w:rFonts w:ascii="Arial" w:hAnsi="Arial" w:cs="Arial"/>
          <w:color w:val="000000" w:themeColor="text1"/>
        </w:rPr>
        <w:t>provide</w:t>
      </w:r>
      <w:r w:rsidRPr="7330BDA6">
        <w:rPr>
          <w:rFonts w:ascii="Arial" w:hAnsi="Arial" w:cs="Arial"/>
          <w:color w:val="000000" w:themeColor="text1"/>
        </w:rPr>
        <w:t xml:space="preserve"> services, support, or information accessible via the Internet or by telephone.</w:t>
      </w:r>
    </w:p>
    <w:p w14:paraId="1F2CF5BE" w14:textId="77777777" w:rsidR="000D093C" w:rsidRPr="00BF3748" w:rsidRDefault="000D093C" w:rsidP="00E445C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Cs w:val="24"/>
        </w:rPr>
      </w:pPr>
      <w:r w:rsidRPr="7330BDA6">
        <w:rPr>
          <w:rFonts w:ascii="Arial" w:hAnsi="Arial" w:cs="Arial"/>
          <w:color w:val="000000" w:themeColor="text1"/>
        </w:rPr>
        <w:t>Age-restricted communities registered with the Florida Commission on Human Relations.</w:t>
      </w:r>
    </w:p>
    <w:p w14:paraId="1ADC3FC9" w14:textId="77777777" w:rsidR="000D093C" w:rsidRPr="00BF3748" w:rsidRDefault="000D093C" w:rsidP="00E445C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Cs w:val="24"/>
        </w:rPr>
      </w:pPr>
      <w:r w:rsidRPr="7330BDA6">
        <w:rPr>
          <w:rFonts w:ascii="Arial" w:hAnsi="Arial" w:cs="Arial"/>
          <w:color w:val="000000" w:themeColor="text1"/>
        </w:rPr>
        <w:t>Websites that provide services or information relevant to seniors</w:t>
      </w:r>
      <w:r w:rsidR="005C434D" w:rsidRPr="7330BDA6">
        <w:rPr>
          <w:rFonts w:ascii="Arial" w:hAnsi="Arial" w:cs="Arial"/>
          <w:color w:val="000000" w:themeColor="text1"/>
        </w:rPr>
        <w:t xml:space="preserve"> and/or persons with disabilities</w:t>
      </w:r>
      <w:r w:rsidRPr="7330BDA6">
        <w:rPr>
          <w:rFonts w:ascii="Arial" w:hAnsi="Arial" w:cs="Arial"/>
          <w:color w:val="000000" w:themeColor="text1"/>
        </w:rPr>
        <w:t>.</w:t>
      </w:r>
    </w:p>
    <w:p w14:paraId="0E87B99F" w14:textId="77777777" w:rsidR="00E41C0C" w:rsidRPr="00BF3748" w:rsidRDefault="00E41C0C" w:rsidP="00E41C0C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14:paraId="07E8B3B3" w14:textId="77777777" w:rsidR="000D093C" w:rsidRPr="00BF3748" w:rsidRDefault="000D093C" w:rsidP="00BF3748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Arial" w:hAnsi="Arial" w:cs="Arial"/>
          <w:b/>
          <w:szCs w:val="24"/>
        </w:rPr>
      </w:pPr>
      <w:r w:rsidRPr="00BF3748">
        <w:rPr>
          <w:rFonts w:ascii="Arial" w:hAnsi="Arial" w:cs="Arial"/>
          <w:b/>
          <w:color w:val="000000"/>
          <w:szCs w:val="24"/>
        </w:rPr>
        <w:t>The following criteria warrant exclusion/removal of otherwise eligible entities</w:t>
      </w:r>
      <w:r w:rsidR="00071279" w:rsidRPr="00BF3748">
        <w:rPr>
          <w:rFonts w:ascii="Arial" w:hAnsi="Arial" w:cs="Arial"/>
          <w:b/>
          <w:color w:val="000000"/>
          <w:szCs w:val="24"/>
        </w:rPr>
        <w:t xml:space="preserve"> </w:t>
      </w:r>
      <w:r w:rsidR="00FB3731" w:rsidRPr="00BF3748">
        <w:rPr>
          <w:rFonts w:ascii="Arial" w:hAnsi="Arial" w:cs="Arial"/>
          <w:b/>
          <w:szCs w:val="24"/>
        </w:rPr>
        <w:t xml:space="preserve">by all </w:t>
      </w:r>
      <w:r w:rsidR="00071279" w:rsidRPr="00BF3748">
        <w:rPr>
          <w:rFonts w:ascii="Arial" w:hAnsi="Arial" w:cs="Arial"/>
          <w:b/>
          <w:szCs w:val="24"/>
        </w:rPr>
        <w:t>ADRCs</w:t>
      </w:r>
      <w:r w:rsidRPr="00BF3748">
        <w:rPr>
          <w:rFonts w:ascii="Arial" w:hAnsi="Arial" w:cs="Arial"/>
          <w:b/>
          <w:color w:val="000000"/>
          <w:szCs w:val="24"/>
        </w:rPr>
        <w:t>:</w:t>
      </w:r>
    </w:p>
    <w:p w14:paraId="05429094" w14:textId="77777777" w:rsidR="00D2020B" w:rsidRPr="00BF3748" w:rsidRDefault="00D2020B" w:rsidP="00D2020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65B13A3B" w14:textId="77777777" w:rsidR="000D093C" w:rsidRPr="00BF3748" w:rsidRDefault="000D093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F3748">
        <w:rPr>
          <w:rFonts w:ascii="Arial" w:hAnsi="Arial" w:cs="Arial"/>
          <w:szCs w:val="24"/>
        </w:rPr>
        <w:t>Entities that do not obtain or maintain required governmental licensing, certification, or registration.</w:t>
      </w:r>
    </w:p>
    <w:p w14:paraId="5B13D9AD" w14:textId="77777777" w:rsidR="000D093C" w:rsidRPr="00BF3748" w:rsidRDefault="000D093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F3748">
        <w:rPr>
          <w:rFonts w:ascii="Arial" w:hAnsi="Arial" w:cs="Arial"/>
          <w:szCs w:val="24"/>
        </w:rPr>
        <w:t>Entities whose license, certification, or registration is suspended or revoked.</w:t>
      </w:r>
    </w:p>
    <w:p w14:paraId="23929F6F" w14:textId="18D8F351" w:rsidR="000D093C" w:rsidRPr="00BF3748" w:rsidRDefault="1D80440F" w:rsidP="7330BD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7330BDA6">
        <w:rPr>
          <w:rFonts w:ascii="Arial" w:hAnsi="Arial" w:cs="Arial"/>
        </w:rPr>
        <w:t>Entities that refuse services based on age, color, race, religion, gender, nationality, disability, marital status, or any other basis prohibited by law.</w:t>
      </w:r>
    </w:p>
    <w:p w14:paraId="4AFB3A25" w14:textId="77777777" w:rsidR="000D093C" w:rsidRPr="00BF3748" w:rsidRDefault="000D093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F3748">
        <w:rPr>
          <w:rFonts w:ascii="Arial" w:hAnsi="Arial" w:cs="Arial"/>
          <w:szCs w:val="24"/>
        </w:rPr>
        <w:t>Entities that make material misrepresentation or omissions regarding services provided, licensing status, or any other pertinent matter.</w:t>
      </w:r>
    </w:p>
    <w:p w14:paraId="22F26899" w14:textId="77777777" w:rsidR="00D2020B" w:rsidRPr="00BF3748" w:rsidRDefault="000D093C" w:rsidP="00D202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F3748">
        <w:rPr>
          <w:rFonts w:ascii="Arial" w:hAnsi="Arial" w:cs="Arial"/>
          <w:szCs w:val="24"/>
        </w:rPr>
        <w:t xml:space="preserve">Entities who fail to respond to a request for updated information within the specified time.  </w:t>
      </w:r>
    </w:p>
    <w:p w14:paraId="48A3702D" w14:textId="77777777" w:rsidR="00320C61" w:rsidRPr="00BF3748" w:rsidRDefault="00320C61" w:rsidP="00320C61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14:paraId="411349D6" w14:textId="77777777" w:rsidR="00E518C9" w:rsidRPr="00BF3748" w:rsidRDefault="00320C61" w:rsidP="00320C61">
      <w:pPr>
        <w:pStyle w:val="ListParagraph"/>
        <w:spacing w:after="0" w:line="240" w:lineRule="auto"/>
        <w:ind w:left="0"/>
        <w:rPr>
          <w:rFonts w:ascii="Arial" w:hAnsi="Arial" w:cs="Arial"/>
          <w:b/>
          <w:strike/>
          <w:szCs w:val="24"/>
        </w:rPr>
      </w:pPr>
      <w:r w:rsidRPr="00BF3748">
        <w:rPr>
          <w:rFonts w:ascii="Arial" w:hAnsi="Arial" w:cs="Arial"/>
          <w:b/>
          <w:szCs w:val="24"/>
        </w:rPr>
        <w:t>IV.</w:t>
      </w:r>
      <w:r w:rsidRPr="00BF3748">
        <w:rPr>
          <w:rFonts w:ascii="Arial" w:hAnsi="Arial" w:cs="Arial"/>
          <w:szCs w:val="24"/>
        </w:rPr>
        <w:t xml:space="preserve"> </w:t>
      </w:r>
      <w:r w:rsidR="00815125" w:rsidRPr="00BF3748">
        <w:rPr>
          <w:rFonts w:ascii="Arial" w:hAnsi="Arial" w:cs="Arial"/>
          <w:b/>
          <w:szCs w:val="24"/>
        </w:rPr>
        <w:t xml:space="preserve">Additional criteria </w:t>
      </w:r>
      <w:r w:rsidR="00AC7D1D" w:rsidRPr="00BF3748">
        <w:rPr>
          <w:rFonts w:ascii="Arial" w:hAnsi="Arial" w:cs="Arial"/>
          <w:b/>
          <w:szCs w:val="24"/>
        </w:rPr>
        <w:t xml:space="preserve">for an </w:t>
      </w:r>
      <w:r w:rsidR="00D2020B" w:rsidRPr="00BF3748">
        <w:rPr>
          <w:rFonts w:ascii="Arial" w:hAnsi="Arial" w:cs="Arial"/>
          <w:b/>
          <w:szCs w:val="24"/>
        </w:rPr>
        <w:t xml:space="preserve">individual </w:t>
      </w:r>
      <w:r w:rsidR="0071723B" w:rsidRPr="00BF3748">
        <w:rPr>
          <w:rFonts w:ascii="Arial" w:hAnsi="Arial" w:cs="Arial"/>
          <w:b/>
          <w:szCs w:val="24"/>
        </w:rPr>
        <w:t>ADRC</w:t>
      </w:r>
      <w:r w:rsidR="00D2020B" w:rsidRPr="00BF3748">
        <w:rPr>
          <w:rFonts w:ascii="Arial" w:hAnsi="Arial" w:cs="Arial"/>
          <w:b/>
          <w:szCs w:val="24"/>
        </w:rPr>
        <w:t xml:space="preserve"> </w:t>
      </w:r>
    </w:p>
    <w:p w14:paraId="1C046844" w14:textId="77777777" w:rsidR="00E518C9" w:rsidRPr="00BF3748" w:rsidRDefault="00E518C9" w:rsidP="00E518C9">
      <w:pPr>
        <w:pStyle w:val="ListParagraph"/>
        <w:spacing w:after="0" w:line="240" w:lineRule="auto"/>
        <w:rPr>
          <w:rFonts w:ascii="Arial" w:hAnsi="Arial" w:cs="Arial"/>
          <w:b/>
          <w:szCs w:val="24"/>
        </w:rPr>
      </w:pPr>
    </w:p>
    <w:p w14:paraId="7020C427" w14:textId="69FB4D6C" w:rsidR="00E518C9" w:rsidRDefault="645A31FA" w:rsidP="7330BDA6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7330BDA6">
        <w:rPr>
          <w:rFonts w:ascii="Arial" w:hAnsi="Arial" w:cs="Arial"/>
        </w:rPr>
        <w:t>Additional resources and criteria may be specified here by individual ADRCs for their service area if the minimum statewide criteria are met.</w:t>
      </w:r>
    </w:p>
    <w:p w14:paraId="34120900" w14:textId="77777777" w:rsidR="00D2020B" w:rsidRPr="00BF3748" w:rsidRDefault="00D2020B" w:rsidP="00E518C9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F3748">
        <w:rPr>
          <w:rFonts w:ascii="Arial" w:hAnsi="Arial" w:cs="Arial"/>
          <w:b/>
          <w:sz w:val="28"/>
          <w:szCs w:val="24"/>
        </w:rPr>
        <w:tab/>
      </w:r>
    </w:p>
    <w:p w14:paraId="32F01027" w14:textId="660398E9" w:rsidR="0039677A" w:rsidRPr="00BF3748" w:rsidRDefault="000D093C" w:rsidP="0039677A">
      <w:pPr>
        <w:rPr>
          <w:rFonts w:ascii="Arial" w:hAnsi="Arial" w:cs="Arial"/>
          <w:sz w:val="20"/>
          <w:szCs w:val="20"/>
        </w:rPr>
      </w:pPr>
      <w:r w:rsidRPr="7330BDA6">
        <w:rPr>
          <w:rFonts w:ascii="Arial" w:hAnsi="Arial" w:cs="Arial"/>
          <w:b/>
          <w:bCs/>
        </w:rPr>
        <w:t>Disclaimer</w:t>
      </w:r>
      <w:r w:rsidR="04DA9A03" w:rsidRPr="7330BDA6">
        <w:rPr>
          <w:rFonts w:ascii="Arial" w:hAnsi="Arial" w:cs="Arial"/>
          <w:b/>
          <w:bCs/>
        </w:rPr>
        <w:t xml:space="preserve">: </w:t>
      </w:r>
      <w:r w:rsidR="04DA9A03" w:rsidRPr="7330BDA6">
        <w:rPr>
          <w:rFonts w:ascii="Arial" w:hAnsi="Arial" w:cs="Arial"/>
        </w:rPr>
        <w:t>Inclusion</w:t>
      </w:r>
      <w:r w:rsidRPr="7330BDA6">
        <w:rPr>
          <w:rFonts w:ascii="Arial" w:hAnsi="Arial" w:cs="Arial"/>
        </w:rPr>
        <w:t xml:space="preserve"> in the statewide resource database does not constitute an endorsement of an organization, agency, or service by Florida’s </w:t>
      </w:r>
      <w:r w:rsidR="005C434D" w:rsidRPr="7330BDA6">
        <w:rPr>
          <w:rFonts w:ascii="Arial" w:hAnsi="Arial" w:cs="Arial"/>
          <w:color w:val="000000" w:themeColor="text1"/>
        </w:rPr>
        <w:t>Aging and Disability Resource Centers (ADRCs)</w:t>
      </w:r>
      <w:r w:rsidRPr="7330BDA6">
        <w:rPr>
          <w:rFonts w:ascii="Arial" w:hAnsi="Arial" w:cs="Arial"/>
        </w:rPr>
        <w:t xml:space="preserve">.  Exclusion does not constitute lack of endorsement.  The information contained in the database was provided by the organizations and agencies.  To ensure accuracy of resource </w:t>
      </w:r>
      <w:r w:rsidRPr="7330BDA6">
        <w:rPr>
          <w:rFonts w:ascii="Arial" w:hAnsi="Arial" w:cs="Arial"/>
        </w:rPr>
        <w:lastRenderedPageBreak/>
        <w:t xml:space="preserve">information, Florida’s </w:t>
      </w:r>
      <w:r w:rsidR="0039677A" w:rsidRPr="7330BDA6">
        <w:rPr>
          <w:rFonts w:ascii="Arial" w:hAnsi="Arial" w:cs="Arial"/>
        </w:rPr>
        <w:t>ADRCs</w:t>
      </w:r>
      <w:r w:rsidRPr="7330BDA6">
        <w:rPr>
          <w:rFonts w:ascii="Arial" w:hAnsi="Arial" w:cs="Arial"/>
        </w:rPr>
        <w:t xml:space="preserve"> conduct annual updates of information based on feedback from the organizations and agencies listed in the resource database.  Florida’s </w:t>
      </w:r>
      <w:r w:rsidR="0039677A" w:rsidRPr="7330BDA6">
        <w:rPr>
          <w:rFonts w:ascii="Arial" w:hAnsi="Arial" w:cs="Arial"/>
        </w:rPr>
        <w:t>ADRCs</w:t>
      </w:r>
      <w:r w:rsidRPr="7330BDA6">
        <w:rPr>
          <w:rFonts w:ascii="Arial" w:hAnsi="Arial" w:cs="Arial"/>
        </w:rPr>
        <w:t xml:space="preserve"> cannot guarantee the accuracy or completeness of the information.  Florida’s </w:t>
      </w:r>
      <w:r w:rsidR="0039677A" w:rsidRPr="7330BDA6">
        <w:rPr>
          <w:rFonts w:ascii="Arial" w:hAnsi="Arial" w:cs="Arial"/>
        </w:rPr>
        <w:t xml:space="preserve">ADRCs </w:t>
      </w:r>
      <w:r w:rsidRPr="7330BDA6">
        <w:rPr>
          <w:rFonts w:ascii="Arial" w:hAnsi="Arial" w:cs="Arial"/>
        </w:rPr>
        <w:t xml:space="preserve">reserve the right to edit information to meet format and space requirements.  Only providers who meet the statewide inclusion/exclusion guidelines above will be included in the statewide database.  </w:t>
      </w:r>
      <w:r w:rsidR="25B6FC51" w:rsidRPr="7330BDA6">
        <w:rPr>
          <w:rFonts w:ascii="Arial" w:hAnsi="Arial" w:cs="Arial"/>
        </w:rPr>
        <w:t>The final</w:t>
      </w:r>
      <w:r w:rsidRPr="7330BDA6">
        <w:rPr>
          <w:rFonts w:ascii="Arial" w:hAnsi="Arial" w:cs="Arial"/>
        </w:rPr>
        <w:t xml:space="preserve"> decision for inclusion/exclusion will be at the sole discretion of individual </w:t>
      </w:r>
      <w:r w:rsidR="005C434D" w:rsidRPr="7330BDA6">
        <w:rPr>
          <w:rFonts w:ascii="Arial" w:hAnsi="Arial" w:cs="Arial"/>
        </w:rPr>
        <w:t>ADRCs</w:t>
      </w:r>
      <w:r w:rsidRPr="7330BDA6">
        <w:rPr>
          <w:rFonts w:ascii="Arial" w:hAnsi="Arial" w:cs="Arial"/>
        </w:rPr>
        <w:t xml:space="preserve">.  Appeals to these decisions must be forwarded, in writing, to the individual </w:t>
      </w:r>
      <w:r w:rsidR="005C434D" w:rsidRPr="7330BDA6">
        <w:rPr>
          <w:rFonts w:ascii="Arial" w:hAnsi="Arial" w:cs="Arial"/>
        </w:rPr>
        <w:t>ADRCs</w:t>
      </w:r>
      <w:r w:rsidRPr="7330BDA6">
        <w:rPr>
          <w:rFonts w:ascii="Arial" w:hAnsi="Arial" w:cs="Arial"/>
        </w:rPr>
        <w:t xml:space="preserve">.  A response will be provided within thirty (30) days of receipt of </w:t>
      </w:r>
      <w:r w:rsidR="399C3FB4" w:rsidRPr="7330BDA6">
        <w:rPr>
          <w:rFonts w:ascii="Arial" w:hAnsi="Arial" w:cs="Arial"/>
        </w:rPr>
        <w:t>the appeal</w:t>
      </w:r>
      <w:r w:rsidRPr="7330BDA6">
        <w:rPr>
          <w:rFonts w:ascii="Arial" w:hAnsi="Arial" w:cs="Arial"/>
        </w:rPr>
        <w:t>.</w:t>
      </w:r>
      <w:r>
        <w:tab/>
      </w:r>
      <w:r>
        <w:tab/>
      </w:r>
      <w:r>
        <w:tab/>
      </w:r>
      <w:r>
        <w:tab/>
      </w:r>
    </w:p>
    <w:p w14:paraId="672F5A8B" w14:textId="38E33E21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CB2370" w14:textId="5DE438C4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E08A28" w14:textId="46FF0892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A486E2" w14:textId="7C4D18E1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21918A" w14:textId="7FB131D3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4B1E44" w14:textId="5D4DD819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5F4CDA" w14:textId="74E1823E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EA2D48" w14:textId="24230D35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D5B326" w14:textId="56647EEF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DB6812" w14:textId="21A09DA5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9A601C" w14:textId="6A7FFE7D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BC4930" w14:textId="386C4730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9A1EB6" w14:textId="27C21E33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76729F" w14:textId="0CBCF430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EB9B7D" w14:textId="495164EC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AF596F" w14:textId="037ABAC3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F3496A" w14:textId="68D95A75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C61CA1" w14:textId="65CB9954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ED5463" w14:textId="091F7593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57B57B" w14:textId="55B40309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7A8A64" w14:textId="4BF2B567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0306E" w14:textId="6664412A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7A40D5" w14:textId="15C22486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63C96E" w14:textId="4C077A7A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236312" w14:textId="6E3D207C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E61B8B" w14:textId="4520546B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00FB84" w14:textId="58F6DD1C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737C35" w14:textId="662E31B5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CC5633" w14:textId="367E4CD4" w:rsidR="7330BDA6" w:rsidRDefault="7330BDA6" w:rsidP="7330BD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A88920" w14:textId="77777777" w:rsidR="000D093C" w:rsidRPr="00EA5D4C" w:rsidRDefault="0039677A" w:rsidP="003967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Pr="00EA5D4C">
        <w:rPr>
          <w:rFonts w:ascii="Arial" w:hAnsi="Arial" w:cs="Arial"/>
          <w:sz w:val="24"/>
          <w:szCs w:val="24"/>
        </w:rPr>
        <w:tab/>
      </w:r>
      <w:r w:rsidR="000D093C" w:rsidRPr="00EA5D4C">
        <w:rPr>
          <w:rFonts w:ascii="Arial" w:hAnsi="Arial" w:cs="Arial"/>
          <w:b/>
          <w:sz w:val="18"/>
          <w:szCs w:val="18"/>
        </w:rPr>
        <w:t>Adopted 04/08/10</w:t>
      </w:r>
    </w:p>
    <w:p w14:paraId="62A16C1C" w14:textId="77777777" w:rsidR="0039677A" w:rsidRDefault="00A30D92" w:rsidP="003967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</w:r>
      <w:r w:rsidRPr="00EA5D4C">
        <w:rPr>
          <w:rFonts w:ascii="Arial" w:hAnsi="Arial" w:cs="Arial"/>
          <w:b/>
          <w:sz w:val="18"/>
          <w:szCs w:val="18"/>
        </w:rPr>
        <w:tab/>
        <w:t xml:space="preserve">Revised </w:t>
      </w:r>
      <w:r w:rsidR="00E90E75">
        <w:rPr>
          <w:rFonts w:ascii="Arial" w:hAnsi="Arial" w:cs="Arial"/>
          <w:b/>
          <w:sz w:val="18"/>
          <w:szCs w:val="18"/>
        </w:rPr>
        <w:t>2/</w:t>
      </w:r>
      <w:r w:rsidR="00CD4AE9">
        <w:rPr>
          <w:rFonts w:ascii="Arial" w:hAnsi="Arial" w:cs="Arial"/>
          <w:b/>
          <w:sz w:val="18"/>
          <w:szCs w:val="18"/>
        </w:rPr>
        <w:t>23</w:t>
      </w:r>
      <w:r w:rsidR="0039677A" w:rsidRPr="00EA5D4C">
        <w:rPr>
          <w:rFonts w:ascii="Arial" w:hAnsi="Arial" w:cs="Arial"/>
          <w:b/>
          <w:sz w:val="18"/>
          <w:szCs w:val="18"/>
        </w:rPr>
        <w:t>/2012</w:t>
      </w:r>
    </w:p>
    <w:p w14:paraId="65BD660E" w14:textId="77777777" w:rsidR="00BF3748" w:rsidRDefault="00C523A5" w:rsidP="00FB37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Revised 05/0</w:t>
      </w:r>
      <w:r w:rsidR="0054780D">
        <w:rPr>
          <w:rFonts w:ascii="Arial" w:hAnsi="Arial" w:cs="Arial"/>
          <w:b/>
          <w:sz w:val="18"/>
          <w:szCs w:val="18"/>
        </w:rPr>
        <w:t>8</w:t>
      </w:r>
      <w:r w:rsidR="00FB3731">
        <w:rPr>
          <w:rFonts w:ascii="Arial" w:hAnsi="Arial" w:cs="Arial"/>
          <w:b/>
          <w:sz w:val="18"/>
          <w:szCs w:val="18"/>
        </w:rPr>
        <w:t>/2012</w:t>
      </w:r>
    </w:p>
    <w:p w14:paraId="2E0118E7" w14:textId="77777777" w:rsidR="008F0BF1" w:rsidRDefault="00BF3748" w:rsidP="00FB37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302AA9">
        <w:rPr>
          <w:rFonts w:ascii="Arial" w:hAnsi="Arial" w:cs="Arial"/>
          <w:b/>
          <w:sz w:val="18"/>
          <w:szCs w:val="18"/>
        </w:rPr>
        <w:t>Revised 5/23/2013</w:t>
      </w:r>
    </w:p>
    <w:p w14:paraId="7B252C62" w14:textId="77777777" w:rsidR="00CB4245" w:rsidRDefault="008F0BF1" w:rsidP="00FB37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Revised 6/1/2013</w:t>
      </w:r>
    </w:p>
    <w:p w14:paraId="5C249CF7" w14:textId="77777777" w:rsidR="00DB4F47" w:rsidRDefault="00CB4245" w:rsidP="00CB4245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Reviewed 3/13/2014</w:t>
      </w:r>
    </w:p>
    <w:p w14:paraId="03A6A931" w14:textId="77777777" w:rsidR="00EF5A04" w:rsidRDefault="00DB4F47" w:rsidP="00CB4245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Reviewed 4/14/2016</w:t>
      </w:r>
    </w:p>
    <w:p w14:paraId="6D27E85D" w14:textId="03F969FD" w:rsidR="00502B8C" w:rsidRDefault="00EF5A04" w:rsidP="7330BDA6">
      <w:pPr>
        <w:spacing w:after="0" w:line="240" w:lineRule="auto"/>
        <w:ind w:left="6480" w:firstLine="720"/>
        <w:rPr>
          <w:rFonts w:ascii="Arial" w:hAnsi="Arial" w:cs="Arial"/>
          <w:b/>
          <w:bCs/>
          <w:sz w:val="18"/>
          <w:szCs w:val="18"/>
        </w:rPr>
      </w:pPr>
      <w:r w:rsidRPr="7330BDA6">
        <w:rPr>
          <w:rFonts w:ascii="Arial" w:hAnsi="Arial" w:cs="Arial"/>
          <w:b/>
          <w:bCs/>
          <w:sz w:val="18"/>
          <w:szCs w:val="18"/>
        </w:rPr>
        <w:t>Reviewed 3/5/2019</w:t>
      </w:r>
      <w:r w:rsidR="00502B8C">
        <w:tab/>
      </w:r>
      <w:r w:rsidR="7AB84F4B" w:rsidRPr="7330BDA6">
        <w:rPr>
          <w:rFonts w:ascii="Arial" w:hAnsi="Arial" w:cs="Arial"/>
          <w:b/>
          <w:bCs/>
          <w:sz w:val="18"/>
          <w:szCs w:val="18"/>
        </w:rPr>
        <w:t>R</w:t>
      </w:r>
      <w:r w:rsidR="00502B8C" w:rsidRPr="7330BDA6">
        <w:rPr>
          <w:rFonts w:ascii="Arial" w:hAnsi="Arial" w:cs="Arial"/>
          <w:b/>
          <w:bCs/>
          <w:sz w:val="18"/>
          <w:szCs w:val="18"/>
        </w:rPr>
        <w:t>eviewed 3/20/2024</w:t>
      </w:r>
    </w:p>
    <w:p w14:paraId="22B10CB5" w14:textId="2864FC35" w:rsidR="74E74333" w:rsidRDefault="74E74333" w:rsidP="7330BDA6">
      <w:pPr>
        <w:spacing w:after="0" w:line="240" w:lineRule="auto"/>
        <w:ind w:left="6480" w:firstLine="720"/>
        <w:rPr>
          <w:rFonts w:ascii="Arial" w:hAnsi="Arial" w:cs="Arial"/>
          <w:b/>
          <w:bCs/>
          <w:sz w:val="18"/>
          <w:szCs w:val="18"/>
        </w:rPr>
      </w:pPr>
      <w:r w:rsidRPr="7330BDA6">
        <w:rPr>
          <w:rFonts w:ascii="Arial" w:hAnsi="Arial" w:cs="Arial"/>
          <w:b/>
          <w:bCs/>
          <w:sz w:val="18"/>
          <w:szCs w:val="18"/>
        </w:rPr>
        <w:t>Revised 4/30/2024</w:t>
      </w:r>
    </w:p>
    <w:sectPr w:rsidR="74E74333" w:rsidSect="00522E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E086C" w14:textId="77777777" w:rsidR="00522EA2" w:rsidRDefault="00522EA2" w:rsidP="0039677A">
      <w:pPr>
        <w:spacing w:after="0" w:line="240" w:lineRule="auto"/>
      </w:pPr>
      <w:r>
        <w:separator/>
      </w:r>
    </w:p>
  </w:endnote>
  <w:endnote w:type="continuationSeparator" w:id="0">
    <w:p w14:paraId="7CA2BC6A" w14:textId="77777777" w:rsidR="00522EA2" w:rsidRDefault="00522EA2" w:rsidP="0039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7330BDA6" w14:paraId="5F73E0D8" w14:textId="77777777" w:rsidTr="7330BDA6">
      <w:trPr>
        <w:trHeight w:val="300"/>
      </w:trPr>
      <w:tc>
        <w:tcPr>
          <w:tcW w:w="3120" w:type="dxa"/>
        </w:tcPr>
        <w:p w14:paraId="0673D216" w14:textId="612ECBEC" w:rsidR="7330BDA6" w:rsidRDefault="7330BDA6" w:rsidP="7330BDA6">
          <w:pPr>
            <w:pStyle w:val="Header"/>
            <w:jc w:val="center"/>
          </w:pPr>
        </w:p>
      </w:tc>
      <w:tc>
        <w:tcPr>
          <w:tcW w:w="3120" w:type="dxa"/>
        </w:tcPr>
        <w:p w14:paraId="469C0313" w14:textId="7CD82D38" w:rsidR="7330BDA6" w:rsidRDefault="7330BDA6" w:rsidP="7330BDA6">
          <w:pPr>
            <w:pStyle w:val="Header"/>
            <w:ind w:right="-115"/>
            <w:jc w:val="right"/>
          </w:pPr>
        </w:p>
      </w:tc>
    </w:tr>
  </w:tbl>
  <w:p w14:paraId="5B846C62" w14:textId="61A8FF28" w:rsidR="7330BDA6" w:rsidRDefault="7330BDA6" w:rsidP="7330B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D3269" w14:textId="77777777" w:rsidR="00522EA2" w:rsidRDefault="00522EA2" w:rsidP="0039677A">
      <w:pPr>
        <w:spacing w:after="0" w:line="240" w:lineRule="auto"/>
      </w:pPr>
      <w:r>
        <w:separator/>
      </w:r>
    </w:p>
  </w:footnote>
  <w:footnote w:type="continuationSeparator" w:id="0">
    <w:p w14:paraId="0C4A314C" w14:textId="77777777" w:rsidR="00522EA2" w:rsidRDefault="00522EA2" w:rsidP="0039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30BDA6" w14:paraId="0BF68E41" w14:textId="77777777" w:rsidTr="7330BDA6">
      <w:trPr>
        <w:trHeight w:val="300"/>
      </w:trPr>
      <w:tc>
        <w:tcPr>
          <w:tcW w:w="3120" w:type="dxa"/>
        </w:tcPr>
        <w:p w14:paraId="5F14E966" w14:textId="633BDB6F" w:rsidR="7330BDA6" w:rsidRDefault="7330BDA6" w:rsidP="7330BDA6">
          <w:pPr>
            <w:pStyle w:val="Header"/>
            <w:ind w:left="-115"/>
          </w:pPr>
        </w:p>
      </w:tc>
      <w:tc>
        <w:tcPr>
          <w:tcW w:w="3120" w:type="dxa"/>
        </w:tcPr>
        <w:p w14:paraId="56A49D73" w14:textId="15B7E19F" w:rsidR="7330BDA6" w:rsidRDefault="7330BDA6" w:rsidP="7330BDA6">
          <w:pPr>
            <w:pStyle w:val="Header"/>
            <w:jc w:val="center"/>
          </w:pPr>
        </w:p>
      </w:tc>
      <w:tc>
        <w:tcPr>
          <w:tcW w:w="3120" w:type="dxa"/>
        </w:tcPr>
        <w:p w14:paraId="47B2402F" w14:textId="0B77F314" w:rsidR="7330BDA6" w:rsidRDefault="7330BDA6" w:rsidP="7330BDA6">
          <w:pPr>
            <w:pStyle w:val="Header"/>
            <w:ind w:right="-115"/>
            <w:jc w:val="right"/>
          </w:pPr>
        </w:p>
      </w:tc>
    </w:tr>
  </w:tbl>
  <w:p w14:paraId="58A5AEEB" w14:textId="3B4A438C" w:rsidR="7330BDA6" w:rsidRDefault="7330BDA6" w:rsidP="7330B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66A75"/>
    <w:multiLevelType w:val="hybridMultilevel"/>
    <w:tmpl w:val="1CB0EEC0"/>
    <w:lvl w:ilvl="0" w:tplc="B3B6D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0B2"/>
    <w:multiLevelType w:val="hybridMultilevel"/>
    <w:tmpl w:val="B2C01C7A"/>
    <w:lvl w:ilvl="0" w:tplc="EFF2CDA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C5DA8"/>
    <w:multiLevelType w:val="hybridMultilevel"/>
    <w:tmpl w:val="B2C01C7A"/>
    <w:lvl w:ilvl="0" w:tplc="EFF2CDA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05F84"/>
    <w:multiLevelType w:val="hybridMultilevel"/>
    <w:tmpl w:val="D3808B42"/>
    <w:lvl w:ilvl="0" w:tplc="9C9A33A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3928"/>
    <w:multiLevelType w:val="hybridMultilevel"/>
    <w:tmpl w:val="F2B6C0C0"/>
    <w:lvl w:ilvl="0" w:tplc="5F0E2306">
      <w:start w:val="1"/>
      <w:numFmt w:val="upperRoman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50B5F"/>
    <w:multiLevelType w:val="hybridMultilevel"/>
    <w:tmpl w:val="2858FD78"/>
    <w:lvl w:ilvl="0" w:tplc="5F0E230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E5F0C"/>
    <w:multiLevelType w:val="hybridMultilevel"/>
    <w:tmpl w:val="2CB6D0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A333D12"/>
    <w:multiLevelType w:val="hybridMultilevel"/>
    <w:tmpl w:val="38080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1B038A"/>
    <w:multiLevelType w:val="hybridMultilevel"/>
    <w:tmpl w:val="5ADE6BDA"/>
    <w:lvl w:ilvl="0" w:tplc="ED6AB32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E5FE0"/>
    <w:multiLevelType w:val="hybridMultilevel"/>
    <w:tmpl w:val="9EE2C1F2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B957672"/>
    <w:multiLevelType w:val="hybridMultilevel"/>
    <w:tmpl w:val="90347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4513D"/>
    <w:multiLevelType w:val="hybridMultilevel"/>
    <w:tmpl w:val="CB9800AC"/>
    <w:lvl w:ilvl="0" w:tplc="7574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22174"/>
    <w:multiLevelType w:val="hybridMultilevel"/>
    <w:tmpl w:val="3C8064C4"/>
    <w:lvl w:ilvl="0" w:tplc="818C5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E47B6"/>
    <w:multiLevelType w:val="hybridMultilevel"/>
    <w:tmpl w:val="EECE0244"/>
    <w:lvl w:ilvl="0" w:tplc="98DE0AC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A26F6"/>
    <w:multiLevelType w:val="hybridMultilevel"/>
    <w:tmpl w:val="A6AEEDEA"/>
    <w:lvl w:ilvl="0" w:tplc="5F0E2306">
      <w:start w:val="1"/>
      <w:numFmt w:val="upperRoman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598102">
    <w:abstractNumId w:val="5"/>
  </w:num>
  <w:num w:numId="2" w16cid:durableId="1570992469">
    <w:abstractNumId w:val="13"/>
  </w:num>
  <w:num w:numId="3" w16cid:durableId="652223404">
    <w:abstractNumId w:val="8"/>
  </w:num>
  <w:num w:numId="4" w16cid:durableId="897134327">
    <w:abstractNumId w:val="1"/>
  </w:num>
  <w:num w:numId="5" w16cid:durableId="1816140468">
    <w:abstractNumId w:val="11"/>
  </w:num>
  <w:num w:numId="6" w16cid:durableId="726030035">
    <w:abstractNumId w:val="10"/>
  </w:num>
  <w:num w:numId="7" w16cid:durableId="853614799">
    <w:abstractNumId w:val="12"/>
  </w:num>
  <w:num w:numId="8" w16cid:durableId="1328434228">
    <w:abstractNumId w:val="6"/>
  </w:num>
  <w:num w:numId="9" w16cid:durableId="653022915">
    <w:abstractNumId w:val="0"/>
  </w:num>
  <w:num w:numId="10" w16cid:durableId="876939949">
    <w:abstractNumId w:val="14"/>
  </w:num>
  <w:num w:numId="11" w16cid:durableId="1033307374">
    <w:abstractNumId w:val="4"/>
  </w:num>
  <w:num w:numId="12" w16cid:durableId="1563102283">
    <w:abstractNumId w:val="9"/>
  </w:num>
  <w:num w:numId="13" w16cid:durableId="1212111413">
    <w:abstractNumId w:val="2"/>
  </w:num>
  <w:num w:numId="14" w16cid:durableId="1838691869">
    <w:abstractNumId w:val="3"/>
  </w:num>
  <w:num w:numId="15" w16cid:durableId="820198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C"/>
    <w:rsid w:val="000509E8"/>
    <w:rsid w:val="000579A2"/>
    <w:rsid w:val="00066CF1"/>
    <w:rsid w:val="00071279"/>
    <w:rsid w:val="0009055D"/>
    <w:rsid w:val="000D093C"/>
    <w:rsid w:val="000D3B6C"/>
    <w:rsid w:val="000E30ED"/>
    <w:rsid w:val="000F1BA1"/>
    <w:rsid w:val="000F63F9"/>
    <w:rsid w:val="001836AE"/>
    <w:rsid w:val="00183DFB"/>
    <w:rsid w:val="00185587"/>
    <w:rsid w:val="001F0A12"/>
    <w:rsid w:val="00230235"/>
    <w:rsid w:val="00295434"/>
    <w:rsid w:val="00296465"/>
    <w:rsid w:val="002C3579"/>
    <w:rsid w:val="002C3972"/>
    <w:rsid w:val="002F124D"/>
    <w:rsid w:val="002F34F4"/>
    <w:rsid w:val="00302AA9"/>
    <w:rsid w:val="00320C61"/>
    <w:rsid w:val="0039677A"/>
    <w:rsid w:val="00397EB5"/>
    <w:rsid w:val="003A6EF5"/>
    <w:rsid w:val="003C2526"/>
    <w:rsid w:val="003D3522"/>
    <w:rsid w:val="003D63FB"/>
    <w:rsid w:val="0043015B"/>
    <w:rsid w:val="00435C1A"/>
    <w:rsid w:val="00436AC3"/>
    <w:rsid w:val="00464FE0"/>
    <w:rsid w:val="00477C8B"/>
    <w:rsid w:val="00480D66"/>
    <w:rsid w:val="00502B8C"/>
    <w:rsid w:val="0051325C"/>
    <w:rsid w:val="00522EA2"/>
    <w:rsid w:val="00523FBD"/>
    <w:rsid w:val="0054780D"/>
    <w:rsid w:val="00547F07"/>
    <w:rsid w:val="005A0808"/>
    <w:rsid w:val="005B6B15"/>
    <w:rsid w:val="005C434D"/>
    <w:rsid w:val="0061381B"/>
    <w:rsid w:val="006174E4"/>
    <w:rsid w:val="006313FE"/>
    <w:rsid w:val="006358AB"/>
    <w:rsid w:val="006443A1"/>
    <w:rsid w:val="006731F0"/>
    <w:rsid w:val="00684173"/>
    <w:rsid w:val="006879E2"/>
    <w:rsid w:val="006B6999"/>
    <w:rsid w:val="006F05A4"/>
    <w:rsid w:val="0071723B"/>
    <w:rsid w:val="00721F24"/>
    <w:rsid w:val="00722981"/>
    <w:rsid w:val="00735A20"/>
    <w:rsid w:val="0078678F"/>
    <w:rsid w:val="007D3E8F"/>
    <w:rsid w:val="008029B4"/>
    <w:rsid w:val="00815125"/>
    <w:rsid w:val="00833D48"/>
    <w:rsid w:val="00834BBA"/>
    <w:rsid w:val="008473C4"/>
    <w:rsid w:val="00896CE1"/>
    <w:rsid w:val="00897C43"/>
    <w:rsid w:val="008C5379"/>
    <w:rsid w:val="008D1485"/>
    <w:rsid w:val="008E3BD7"/>
    <w:rsid w:val="008F0BF1"/>
    <w:rsid w:val="0090240A"/>
    <w:rsid w:val="009034FB"/>
    <w:rsid w:val="00954331"/>
    <w:rsid w:val="009B5762"/>
    <w:rsid w:val="009B718E"/>
    <w:rsid w:val="009D0836"/>
    <w:rsid w:val="009D71AD"/>
    <w:rsid w:val="009E78E4"/>
    <w:rsid w:val="00A30D92"/>
    <w:rsid w:val="00A3379A"/>
    <w:rsid w:val="00A5019F"/>
    <w:rsid w:val="00A604D1"/>
    <w:rsid w:val="00AC7D1D"/>
    <w:rsid w:val="00B06403"/>
    <w:rsid w:val="00B54E22"/>
    <w:rsid w:val="00BA756D"/>
    <w:rsid w:val="00BD7048"/>
    <w:rsid w:val="00BE4898"/>
    <w:rsid w:val="00BF3748"/>
    <w:rsid w:val="00C523A5"/>
    <w:rsid w:val="00C76D8F"/>
    <w:rsid w:val="00C96641"/>
    <w:rsid w:val="00CB4245"/>
    <w:rsid w:val="00CB76BD"/>
    <w:rsid w:val="00CD4AE9"/>
    <w:rsid w:val="00D12CE4"/>
    <w:rsid w:val="00D14096"/>
    <w:rsid w:val="00D2020B"/>
    <w:rsid w:val="00D5431B"/>
    <w:rsid w:val="00D628C8"/>
    <w:rsid w:val="00D85B01"/>
    <w:rsid w:val="00D869FB"/>
    <w:rsid w:val="00D95CA7"/>
    <w:rsid w:val="00DB4F47"/>
    <w:rsid w:val="00DF5B07"/>
    <w:rsid w:val="00E0284F"/>
    <w:rsid w:val="00E076FA"/>
    <w:rsid w:val="00E1096D"/>
    <w:rsid w:val="00E25748"/>
    <w:rsid w:val="00E41C0C"/>
    <w:rsid w:val="00E445CB"/>
    <w:rsid w:val="00E518C9"/>
    <w:rsid w:val="00E637B6"/>
    <w:rsid w:val="00E90E75"/>
    <w:rsid w:val="00EA5D4C"/>
    <w:rsid w:val="00EB4578"/>
    <w:rsid w:val="00EE2098"/>
    <w:rsid w:val="00EF2EDD"/>
    <w:rsid w:val="00EF5A04"/>
    <w:rsid w:val="00F318FD"/>
    <w:rsid w:val="00F32FB1"/>
    <w:rsid w:val="00F412A4"/>
    <w:rsid w:val="00F56BDC"/>
    <w:rsid w:val="00F835DF"/>
    <w:rsid w:val="00F86161"/>
    <w:rsid w:val="00F96A13"/>
    <w:rsid w:val="00FB3731"/>
    <w:rsid w:val="01D5E42D"/>
    <w:rsid w:val="04DA9A03"/>
    <w:rsid w:val="0F313331"/>
    <w:rsid w:val="16DB2F91"/>
    <w:rsid w:val="1A0D27E7"/>
    <w:rsid w:val="1D80440F"/>
    <w:rsid w:val="24224C9B"/>
    <w:rsid w:val="2499D4B1"/>
    <w:rsid w:val="25B6FC51"/>
    <w:rsid w:val="25DF93B7"/>
    <w:rsid w:val="2B5357DF"/>
    <w:rsid w:val="3847E3EE"/>
    <w:rsid w:val="399C3FB4"/>
    <w:rsid w:val="3C82E735"/>
    <w:rsid w:val="3D3EE755"/>
    <w:rsid w:val="3F922856"/>
    <w:rsid w:val="41A8D533"/>
    <w:rsid w:val="439687AE"/>
    <w:rsid w:val="4BCDEE7B"/>
    <w:rsid w:val="57CB06C3"/>
    <w:rsid w:val="58C05625"/>
    <w:rsid w:val="59D8D84D"/>
    <w:rsid w:val="59FDA18B"/>
    <w:rsid w:val="5CC0EA14"/>
    <w:rsid w:val="6150B23E"/>
    <w:rsid w:val="645A31FA"/>
    <w:rsid w:val="708702EA"/>
    <w:rsid w:val="7111132A"/>
    <w:rsid w:val="7330BDA6"/>
    <w:rsid w:val="744FC6EF"/>
    <w:rsid w:val="74E74333"/>
    <w:rsid w:val="77A6EC86"/>
    <w:rsid w:val="7AB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A21D"/>
  <w15:docId w15:val="{1C100DCB-E849-4CE5-9E12-ADE5B3F0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4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6403"/>
    <w:pPr>
      <w:ind w:left="720"/>
      <w:contextualSpacing/>
    </w:pPr>
  </w:style>
  <w:style w:type="paragraph" w:styleId="BodyTextIndent">
    <w:name w:val="Body Text Indent"/>
    <w:basedOn w:val="Normal"/>
    <w:semiHidden/>
    <w:rsid w:val="00B06403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semiHidden/>
    <w:rsid w:val="00B0640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semiHidden/>
    <w:unhideWhenUsed/>
    <w:rsid w:val="00B0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06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67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677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967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677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C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3579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629C-7CB8-4A95-84D0-05D69CF7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Statewide Information &amp; Referral Database Inclusion/Exclusion Criteria -- DRAFT</dc:title>
  <dc:subject/>
  <dc:creator>Julie Netzer</dc:creator>
  <cp:keywords/>
  <cp:lastModifiedBy>Tawnya Martino</cp:lastModifiedBy>
  <cp:revision>4</cp:revision>
  <cp:lastPrinted>2016-04-14T21:05:00Z</cp:lastPrinted>
  <dcterms:created xsi:type="dcterms:W3CDTF">2024-05-16T13:48:00Z</dcterms:created>
  <dcterms:modified xsi:type="dcterms:W3CDTF">2024-05-16T15:09:00Z</dcterms:modified>
</cp:coreProperties>
</file>